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7C2E" w14:textId="77777777" w:rsidR="006D4261" w:rsidRPr="006E74D9" w:rsidRDefault="002F4A1D" w:rsidP="002F4A1D">
      <w:pPr>
        <w:rPr>
          <w:b/>
          <w:bCs/>
          <w:smallCaps/>
          <w:sz w:val="28"/>
          <w:szCs w:val="28"/>
        </w:rPr>
      </w:pPr>
      <w:bookmarkStart w:id="0" w:name="_GoBack"/>
      <w:bookmarkEnd w:id="0"/>
      <w:r w:rsidRPr="006E74D9">
        <w:rPr>
          <w:b/>
          <w:bCs/>
          <w:smallCaps/>
          <w:sz w:val="28"/>
          <w:szCs w:val="28"/>
          <w:u w:val="single"/>
        </w:rPr>
        <w:t>Adding New Assets to the LockPath Asset Tracker</w:t>
      </w:r>
    </w:p>
    <w:p w14:paraId="6933DB2F" w14:textId="77777777" w:rsidR="002F4A1D" w:rsidRDefault="002F4A1D" w:rsidP="002F4A1D">
      <w:pPr>
        <w:rPr>
          <w:bCs/>
          <w:smallCaps/>
          <w:sz w:val="28"/>
          <w:szCs w:val="28"/>
        </w:rPr>
      </w:pPr>
    </w:p>
    <w:p w14:paraId="056C7843" w14:textId="77777777" w:rsidR="002F4A1D" w:rsidRPr="002F4A1D" w:rsidRDefault="002F4A1D" w:rsidP="002F4A1D">
      <w:r>
        <w:t>This tutorial is to e</w:t>
      </w:r>
      <w:r w:rsidRPr="002F4A1D">
        <w:t>stablish a consistent method for creation of Assets Records within the LockPath Keylight Platform</w:t>
      </w:r>
      <w:r>
        <w:t>, the IT-GRC solution</w:t>
      </w:r>
      <w:r w:rsidRPr="002F4A1D">
        <w:t xml:space="preserve"> deployed and utilized within the University of Chicago Biological Sciences Division (BSD).</w:t>
      </w:r>
    </w:p>
    <w:p w14:paraId="2D4E622E" w14:textId="77777777" w:rsidR="002F4A1D" w:rsidRDefault="002F4A1D" w:rsidP="002F4A1D"/>
    <w:p w14:paraId="33194F43" w14:textId="77777777" w:rsidR="009153DB" w:rsidRPr="009153DB" w:rsidRDefault="00816BBC" w:rsidP="00816BBC">
      <w:r>
        <w:rPr>
          <w:noProof/>
        </w:rPr>
        <mc:AlternateContent>
          <mc:Choice Requires="wps">
            <w:drawing>
              <wp:anchor distT="0" distB="0" distL="114300" distR="114300" simplePos="0" relativeHeight="251659264" behindDoc="0" locked="0" layoutInCell="1" allowOverlap="1" wp14:anchorId="5B7F07B0" wp14:editId="3356E4D9">
                <wp:simplePos x="0" y="0"/>
                <wp:positionH relativeFrom="column">
                  <wp:posOffset>0</wp:posOffset>
                </wp:positionH>
                <wp:positionV relativeFrom="paragraph">
                  <wp:posOffset>697230</wp:posOffset>
                </wp:positionV>
                <wp:extent cx="5372100" cy="571500"/>
                <wp:effectExtent l="50800" t="25400" r="88900" b="114300"/>
                <wp:wrapThrough wrapText="bothSides">
                  <wp:wrapPolygon edited="0">
                    <wp:start x="-102" y="-960"/>
                    <wp:lineTo x="-204" y="0"/>
                    <wp:lineTo x="-204" y="24960"/>
                    <wp:lineTo x="21651" y="24960"/>
                    <wp:lineTo x="21855" y="16320"/>
                    <wp:lineTo x="21855" y="-960"/>
                    <wp:lineTo x="-102" y="-960"/>
                  </wp:wrapPolygon>
                </wp:wrapThrough>
                <wp:docPr id="1" name="Round Diagonal Corner Rectangle 1"/>
                <wp:cNvGraphicFramePr/>
                <a:graphic xmlns:a="http://schemas.openxmlformats.org/drawingml/2006/main">
                  <a:graphicData uri="http://schemas.microsoft.com/office/word/2010/wordprocessingShape">
                    <wps:wsp>
                      <wps:cNvSpPr/>
                      <wps:spPr>
                        <a:xfrm>
                          <a:off x="0" y="0"/>
                          <a:ext cx="5372100" cy="571500"/>
                        </a:xfrm>
                        <a:prstGeom prst="round2DiagRect">
                          <a:avLst/>
                        </a:prstGeom>
                        <a:solidFill>
                          <a:srgbClr val="800000"/>
                        </a:solidFill>
                      </wps:spPr>
                      <wps:style>
                        <a:lnRef idx="1">
                          <a:schemeClr val="accent2"/>
                        </a:lnRef>
                        <a:fillRef idx="3">
                          <a:schemeClr val="accent2"/>
                        </a:fillRef>
                        <a:effectRef idx="2">
                          <a:schemeClr val="accent2"/>
                        </a:effectRef>
                        <a:fontRef idx="minor">
                          <a:schemeClr val="lt1"/>
                        </a:fontRef>
                      </wps:style>
                      <wps:txbx>
                        <w:txbxContent>
                          <w:p w14:paraId="3D6EB60A" w14:textId="77777777" w:rsidR="002D46EB" w:rsidRPr="00816BBC" w:rsidRDefault="002D46EB" w:rsidP="00816BBC">
                            <w:pPr>
                              <w:rPr>
                                <w:b/>
                                <w:i/>
                              </w:rPr>
                            </w:pPr>
                            <w:r w:rsidRPr="00816BBC">
                              <w:rPr>
                                <w:i/>
                              </w:rPr>
                              <w:t>Note: This system aligns with</w:t>
                            </w:r>
                            <w:r>
                              <w:rPr>
                                <w:b/>
                                <w:i/>
                              </w:rPr>
                              <w:t xml:space="preserve"> </w:t>
                            </w:r>
                            <w:r w:rsidRPr="00816BBC">
                              <w:rPr>
                                <w:b/>
                                <w:i/>
                              </w:rPr>
                              <w:t>NIST Cyber Security Framework ID.AM-1</w:t>
                            </w:r>
                            <w:r w:rsidRPr="00816BBC">
                              <w:rPr>
                                <w:i/>
                              </w:rPr>
                              <w:t>: Physical devices and systems within the organization are inventoried.</w:t>
                            </w:r>
                          </w:p>
                          <w:p w14:paraId="5B4A68A2" w14:textId="77777777" w:rsidR="002D46EB" w:rsidRDefault="002D46EB" w:rsidP="00816B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0;margin-top:54.9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2100,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xs4sCAAB1BQAADgAAAGRycy9lMm9Eb2MueG1srFTda9swEH8f7H8Qel8du83ahTolpHQMSlva&#10;jj4rspQYZJ12UmJnf/1OsuOGrlAYy4Ny5/v+3cflVdcYtlPoa7Alz08mnCkroartuuQ/n2++XHDm&#10;g7CVMGBVyffK86v550+XrZupAjZgKoWMnFg/a13JNyG4WZZ5uVGN8CfglCWhBmxEIBbXWYWiJe+N&#10;yYrJ5GvWAlYOQSrv6et1L+Tz5F9rJcO91l4FZkpOuYX0YnpX8c3ml2K2RuE2tRzSEP+QRSNqS0FH&#10;V9ciCLbF+i9XTS0RPOhwIqHJQOtaqlQDVZNP3lTztBFOpVoIHO9GmPz/cyvvdg/I6op6x5kVDbXo&#10;Eba2Yte1WIMVhi0BLbXokaAUdm0UyyNorfMzsn1yDzhwnsiIQKexif9UG+sS0PsRaNUFJunj9PS8&#10;yCfUD0my6Xk+JZrcZK/WDn34rqBhkSg5xpyKmFPMIyEtdrc+9EYH5RjWg6mrm9qYxOB6tTTIdoLa&#10;fzGJvyHOkVoWa+mzT1TYGxWNjX1UmqChfPMUMQ2lGv0JKZUNxeAwaUczTbFHw9OPDQf9aKrSwI7G&#10;xcfGo0WKDDaMxk1tAd9zYEJqIGGte33C/ajuSIZu1Q1dXUG1pwFB6DfHO3lTU0duhQ8PAmlVqIm0&#10;/uGeHm2gLTkMFGcbwN/vfY/6NMEk5ayl1Su5/7UVqDgzPyzN9rf87CzuamLOpucFMXgsWR1L7LZZ&#10;ArWX5peyS2TUD+ZAaoTmha7EIkYlkbCSYpdcBjwwy9CfBLozUi0WSY3204lwa5+cPAxAnLPn7kWg&#10;G8Yy0EDfwWFNxezNTPa6sTUWFtsAuk4DGyHucR2gp91Owz/coXg8jvmk9Xot538AAAD//wMAUEsD&#10;BBQABgAIAAAAIQAOSVdL3AAAAAgBAAAPAAAAZHJzL2Rvd25yZXYueG1sTI/BbsIwEETvlfgHa5F6&#10;Kw5VRUkaByGkShxbSluOTrwkEfE6jR0wf9/tqRz3zWh2Jl9F24kzDr51pGA+S0AgVc60VCvYf7w+&#10;LEH4oMnozhEquKKHVTG5y3Vm3IXe8bwLteAQ8plW0ITQZ1L6qkGr/cz1SKwd3WB14HOopRn0hcNt&#10;Jx+TZCGtbok/NLrHTYPVaTdaBZ/f62usy8Nb9bxP4/brB7f9YVTqfhrXLyACxvBvhr/6XB0K7lS6&#10;kYwXnQIeEpgmKQ9gefm0YFIySZnIIpe3A4pfAAAA//8DAFBLAQItABQABgAIAAAAIQDkmcPA+wAA&#10;AOEBAAATAAAAAAAAAAAAAAAAAAAAAABbQ29udGVudF9UeXBlc10ueG1sUEsBAi0AFAAGAAgAAAAh&#10;ACOyauHXAAAAlAEAAAsAAAAAAAAAAAAAAAAALAEAAF9yZWxzLy5yZWxzUEsBAi0AFAAGAAgAAAAh&#10;AJVPsbOLAgAAdQUAAA4AAAAAAAAAAAAAAAAALAIAAGRycy9lMm9Eb2MueG1sUEsBAi0AFAAGAAgA&#10;AAAhAA5JV0vcAAAACAEAAA8AAAAAAAAAAAAAAAAA4wQAAGRycy9kb3ducmV2LnhtbFBLBQYAAAAA&#10;BAAEAPMAAADsBQAAAAA=&#10;" adj="-11796480,,5400" path="m95252,0l5372100,,5372100,,5372100,476248c5372100,528854,5329454,571500,5276848,571500l0,571500,,571500,,95252c0,42646,42646,,95252,0xe" fillcolor="maroon" strokecolor="#bc4542 [3045]">
                <v:stroke joinstyle="miter"/>
                <v:shadow on="t" opacity="22937f" mv:blur="40000f" origin=",.5" offset="0,23000emu"/>
                <v:formulas/>
                <v:path arrowok="t" o:connecttype="custom" o:connectlocs="95252,0;5372100,0;5372100,0;5372100,476248;5276848,571500;0,571500;0,571500;0,95252;95252,0" o:connectangles="0,0,0,0,0,0,0,0,0" textboxrect="0,0,5372100,571500"/>
                <v:textbox>
                  <w:txbxContent>
                    <w:p w14:paraId="3D6EB60A" w14:textId="77777777" w:rsidR="009153DB" w:rsidRPr="00816BBC" w:rsidRDefault="009153DB" w:rsidP="00816BBC">
                      <w:pPr>
                        <w:rPr>
                          <w:b/>
                          <w:i/>
                        </w:rPr>
                      </w:pPr>
                      <w:r w:rsidRPr="00816BBC">
                        <w:rPr>
                          <w:i/>
                        </w:rPr>
                        <w:t>Note: This system aligns with</w:t>
                      </w:r>
                      <w:r>
                        <w:rPr>
                          <w:b/>
                          <w:i/>
                        </w:rPr>
                        <w:t xml:space="preserve"> </w:t>
                      </w:r>
                      <w:r w:rsidRPr="00816BBC">
                        <w:rPr>
                          <w:b/>
                          <w:i/>
                        </w:rPr>
                        <w:t>NIST Cyber Security Framework ID.AM-1</w:t>
                      </w:r>
                      <w:r w:rsidRPr="00816BBC">
                        <w:rPr>
                          <w:i/>
                        </w:rPr>
                        <w:t>: Physical devices and systems within the organization are inventoried.</w:t>
                      </w:r>
                    </w:p>
                    <w:p w14:paraId="5B4A68A2" w14:textId="77777777" w:rsidR="009153DB" w:rsidRDefault="009153DB" w:rsidP="00816BBC"/>
                  </w:txbxContent>
                </v:textbox>
                <w10:wrap type="through"/>
              </v:shape>
            </w:pict>
          </mc:Fallback>
        </mc:AlternateContent>
      </w:r>
      <w:r w:rsidR="002F4A1D" w:rsidRPr="002F4A1D">
        <w:t xml:space="preserve">This </w:t>
      </w:r>
      <w:r w:rsidR="002F4A1D">
        <w:t>tutorial</w:t>
      </w:r>
      <w:r w:rsidR="002F4A1D" w:rsidRPr="002F4A1D">
        <w:t xml:space="preserve"> applies to all members of BSD who are responsible for contributing to the Assets Record by either manually entering Assets Records or assisting in parsing of Assets Records from a contributing system.</w:t>
      </w:r>
    </w:p>
    <w:p w14:paraId="6D027AEE" w14:textId="77777777" w:rsidR="00816BBC" w:rsidRPr="002D46EB" w:rsidRDefault="00816BBC" w:rsidP="00816BBC">
      <w:pPr>
        <w:rPr>
          <w:b/>
        </w:rPr>
      </w:pPr>
      <w:r w:rsidRPr="002D46EB">
        <w:rPr>
          <w:b/>
        </w:rPr>
        <w:t>How to add a new Asset to LockPath Asset Tracker</w:t>
      </w:r>
    </w:p>
    <w:p w14:paraId="1332E224" w14:textId="77777777" w:rsidR="00816BBC" w:rsidRPr="00816BBC" w:rsidRDefault="00816BBC" w:rsidP="00816BBC"/>
    <w:p w14:paraId="221A454A" w14:textId="77777777" w:rsidR="006E74D9" w:rsidRDefault="006E74D9" w:rsidP="006E74D9">
      <w:pPr>
        <w:pStyle w:val="ListParagraph"/>
        <w:numPr>
          <w:ilvl w:val="0"/>
          <w:numId w:val="1"/>
        </w:numPr>
      </w:pPr>
      <w:r>
        <w:t xml:space="preserve">Go to </w:t>
      </w:r>
      <w:hyperlink r:id="rId11" w:history="1">
        <w:r w:rsidRPr="00D25EC4">
          <w:rPr>
            <w:rStyle w:val="Hyperlink"/>
          </w:rPr>
          <w:t>https://itcompliance.bsd.uchicago.edu/</w:t>
        </w:r>
      </w:hyperlink>
      <w:r>
        <w:t xml:space="preserve"> </w:t>
      </w:r>
    </w:p>
    <w:p w14:paraId="64E0E2ED" w14:textId="77777777" w:rsidR="006E74D9" w:rsidRDefault="004C1F46" w:rsidP="006E74D9">
      <w:pPr>
        <w:pStyle w:val="ListParagraph"/>
        <w:numPr>
          <w:ilvl w:val="0"/>
          <w:numId w:val="1"/>
        </w:numPr>
      </w:pPr>
      <w:r>
        <w:t xml:space="preserve">Click </w:t>
      </w:r>
      <w:r w:rsidR="001D5072" w:rsidRPr="0014457C">
        <w:rPr>
          <w:b/>
        </w:rPr>
        <w:t>Single Sign-O</w:t>
      </w:r>
      <w:r w:rsidRPr="0014457C">
        <w:rPr>
          <w:b/>
        </w:rPr>
        <w:t>n</w:t>
      </w:r>
      <w:r w:rsidR="00E45F2F">
        <w:rPr>
          <w:b/>
        </w:rPr>
        <w:t>.</w:t>
      </w:r>
    </w:p>
    <w:p w14:paraId="226E7D09" w14:textId="77777777" w:rsidR="001D5072" w:rsidRPr="001D5072" w:rsidRDefault="001D5072" w:rsidP="006E74D9">
      <w:pPr>
        <w:pStyle w:val="ListParagraph"/>
        <w:numPr>
          <w:ilvl w:val="0"/>
          <w:numId w:val="1"/>
        </w:numPr>
      </w:pPr>
      <w:r>
        <w:t xml:space="preserve">Enter your </w:t>
      </w:r>
      <w:r w:rsidRPr="001D5072">
        <w:rPr>
          <w:i/>
        </w:rPr>
        <w:t>CNet ID</w:t>
      </w:r>
      <w:r>
        <w:t xml:space="preserve"> and password</w:t>
      </w:r>
      <w:r w:rsidR="00E45F2F">
        <w:t>.</w:t>
      </w:r>
    </w:p>
    <w:p w14:paraId="03BF7B12" w14:textId="77777777" w:rsidR="001D5072" w:rsidRPr="001D5072" w:rsidRDefault="001D5072" w:rsidP="001D5072">
      <w:pPr>
        <w:pStyle w:val="ListParagraph"/>
        <w:numPr>
          <w:ilvl w:val="0"/>
          <w:numId w:val="1"/>
        </w:numPr>
      </w:pPr>
      <w:r>
        <w:t>After you log in, m</w:t>
      </w:r>
      <w:r w:rsidRPr="001D5072">
        <w:t>ove your mouse pointer over the Keylight menu in the upper-right corner of the screen, to the left of the Search field.</w:t>
      </w:r>
    </w:p>
    <w:p w14:paraId="63E108E0" w14:textId="77777777" w:rsidR="001D5072" w:rsidRPr="001D5072" w:rsidRDefault="001D5072" w:rsidP="001D5072">
      <w:pPr>
        <w:pStyle w:val="ListParagraph"/>
        <w:numPr>
          <w:ilvl w:val="0"/>
          <w:numId w:val="1"/>
        </w:numPr>
      </w:pPr>
      <w:r w:rsidRPr="001D5072">
        <w:t>From the drop-down menu, under the </w:t>
      </w:r>
      <w:r w:rsidRPr="001D5072">
        <w:rPr>
          <w:b/>
          <w:bCs/>
        </w:rPr>
        <w:t>Keylight Sm</w:t>
      </w:r>
      <w:r w:rsidRPr="001D5072">
        <w:t> section, click</w:t>
      </w:r>
      <w:r>
        <w:t xml:space="preserve"> </w:t>
      </w:r>
      <w:r w:rsidRPr="001D5072">
        <w:rPr>
          <w:b/>
          <w:bCs/>
        </w:rPr>
        <w:t>Assets</w:t>
      </w:r>
      <w:r w:rsidRPr="001D5072">
        <w:t>.</w:t>
      </w:r>
    </w:p>
    <w:p w14:paraId="4B1E6113" w14:textId="77777777" w:rsidR="00685A14" w:rsidRDefault="001D5072" w:rsidP="001D5072">
      <w:pPr>
        <w:pStyle w:val="ListParagraph"/>
        <w:numPr>
          <w:ilvl w:val="0"/>
          <w:numId w:val="1"/>
        </w:numPr>
      </w:pPr>
      <w:r w:rsidRPr="001D5072">
        <w:t>In the left pane</w:t>
      </w:r>
      <w:r>
        <w:t>, c</w:t>
      </w:r>
      <w:r w:rsidRPr="001D5072">
        <w:t xml:space="preserve">lick to expand the </w:t>
      </w:r>
      <w:r w:rsidRPr="001D5072">
        <w:rPr>
          <w:b/>
        </w:rPr>
        <w:t>Device Asset Tracker</w:t>
      </w:r>
      <w:r>
        <w:t xml:space="preserve"> </w:t>
      </w:r>
      <w:r w:rsidRPr="001D5072">
        <w:t>group</w:t>
      </w:r>
      <w:r w:rsidR="00E45F2F">
        <w:t>.</w:t>
      </w:r>
    </w:p>
    <w:p w14:paraId="677EFEBA" w14:textId="77777777" w:rsidR="00685A14" w:rsidRPr="001D5072" w:rsidRDefault="00685A14" w:rsidP="00685A14">
      <w:pPr>
        <w:pStyle w:val="ListParagraph"/>
        <w:numPr>
          <w:ilvl w:val="0"/>
          <w:numId w:val="1"/>
        </w:numPr>
      </w:pPr>
      <w:r>
        <w:t>C</w:t>
      </w:r>
      <w:r w:rsidR="001D5072" w:rsidRPr="001D5072">
        <w:t>lick </w:t>
      </w:r>
      <w:r w:rsidR="001D5072" w:rsidRPr="001D5072">
        <w:rPr>
          <w:b/>
          <w:bCs/>
        </w:rPr>
        <w:t>Add New</w:t>
      </w:r>
      <w:r w:rsidR="001D5072" w:rsidRPr="001D5072">
        <w:t>.</w:t>
      </w:r>
    </w:p>
    <w:p w14:paraId="0DFF03D5" w14:textId="77777777" w:rsidR="0014457C" w:rsidRPr="00676A6F" w:rsidRDefault="0014457C" w:rsidP="00676A6F">
      <w:pPr>
        <w:pStyle w:val="ListParagraph"/>
        <w:numPr>
          <w:ilvl w:val="0"/>
          <w:numId w:val="1"/>
        </w:numPr>
        <w:rPr>
          <w:b/>
        </w:rPr>
      </w:pPr>
      <w:r>
        <w:t xml:space="preserve">You will be guided to the </w:t>
      </w:r>
      <w:r w:rsidRPr="0014457C">
        <w:rPr>
          <w:b/>
        </w:rPr>
        <w:t xml:space="preserve">New Record </w:t>
      </w:r>
      <w:r>
        <w:t>page</w:t>
      </w:r>
      <w:r w:rsidR="00E45F2F">
        <w:t>.</w:t>
      </w:r>
    </w:p>
    <w:p w14:paraId="0B42C931" w14:textId="77777777" w:rsidR="0014457C" w:rsidRDefault="0014457C" w:rsidP="0014457C">
      <w:pPr>
        <w:tabs>
          <w:tab w:val="left" w:pos="5760"/>
        </w:tabs>
      </w:pPr>
      <w:r>
        <w:rPr>
          <w:noProof/>
        </w:rPr>
        <w:drawing>
          <wp:inline distT="0" distB="0" distL="0" distR="0" wp14:anchorId="2796209D" wp14:editId="456E0153">
            <wp:extent cx="5473700" cy="2768600"/>
            <wp:effectExtent l="177800" t="177800" r="393700" b="381000"/>
            <wp:docPr id="2" name="Picture 2" descr="63:Users:Richard:Desktop:Screen Shot 2015-10-12 at 2.3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Users:Richard:Desktop:Screen Shot 2015-10-12 at 2.32.2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2768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C2D02DE" w14:textId="77777777" w:rsidR="002F4A1D" w:rsidRDefault="002F4A1D" w:rsidP="0014457C">
      <w:pPr>
        <w:tabs>
          <w:tab w:val="left" w:pos="5760"/>
        </w:tabs>
      </w:pPr>
    </w:p>
    <w:p w14:paraId="05D3BC9E" w14:textId="77777777" w:rsidR="00E45F2F" w:rsidRDefault="00E45F2F" w:rsidP="00E45F2F">
      <w:pPr>
        <w:pStyle w:val="ListParagraph"/>
        <w:numPr>
          <w:ilvl w:val="0"/>
          <w:numId w:val="1"/>
        </w:numPr>
        <w:tabs>
          <w:tab w:val="left" w:pos="5760"/>
        </w:tabs>
      </w:pPr>
      <w:r>
        <w:t xml:space="preserve">Enter a </w:t>
      </w:r>
      <w:r w:rsidRPr="00E45F2F">
        <w:rPr>
          <w:b/>
        </w:rPr>
        <w:t>System Name</w:t>
      </w:r>
      <w:r>
        <w:t xml:space="preserve"> and move to the fields below.</w:t>
      </w:r>
    </w:p>
    <w:p w14:paraId="26F7B531" w14:textId="77777777" w:rsidR="00E45F2F" w:rsidRDefault="00E45F2F" w:rsidP="00E45F2F">
      <w:pPr>
        <w:pStyle w:val="ListParagraph"/>
        <w:numPr>
          <w:ilvl w:val="0"/>
          <w:numId w:val="1"/>
        </w:numPr>
        <w:tabs>
          <w:tab w:val="left" w:pos="5760"/>
        </w:tabs>
      </w:pPr>
      <w:r>
        <w:t xml:space="preserve">Enter the following under the </w:t>
      </w:r>
      <w:r>
        <w:rPr>
          <w:b/>
        </w:rPr>
        <w:t>Basic Asset Information</w:t>
      </w:r>
      <w:r>
        <w:t xml:space="preserve"> tab:</w:t>
      </w:r>
    </w:p>
    <w:p w14:paraId="07EEF0B2" w14:textId="77777777" w:rsidR="00E45F2F" w:rsidRPr="00E45F2F" w:rsidRDefault="00E45F2F" w:rsidP="00E45F2F">
      <w:pPr>
        <w:pStyle w:val="ListParagraph"/>
        <w:numPr>
          <w:ilvl w:val="1"/>
          <w:numId w:val="1"/>
        </w:numPr>
        <w:tabs>
          <w:tab w:val="left" w:pos="5760"/>
        </w:tabs>
      </w:pPr>
      <w:r w:rsidRPr="00E45F2F">
        <w:t>Department</w:t>
      </w:r>
    </w:p>
    <w:p w14:paraId="7494929C" w14:textId="77777777" w:rsidR="00E45F2F" w:rsidRPr="00E45F2F" w:rsidRDefault="00E45F2F" w:rsidP="00E45F2F">
      <w:pPr>
        <w:pStyle w:val="ListParagraph"/>
        <w:numPr>
          <w:ilvl w:val="1"/>
          <w:numId w:val="1"/>
        </w:numPr>
        <w:tabs>
          <w:tab w:val="left" w:pos="5760"/>
        </w:tabs>
      </w:pPr>
      <w:r w:rsidRPr="00E45F2F">
        <w:t>Make</w:t>
      </w:r>
    </w:p>
    <w:p w14:paraId="02C9627C" w14:textId="77777777" w:rsidR="00E45F2F" w:rsidRPr="00E45F2F" w:rsidRDefault="00E45F2F" w:rsidP="00E45F2F">
      <w:pPr>
        <w:pStyle w:val="ListParagraph"/>
        <w:numPr>
          <w:ilvl w:val="1"/>
          <w:numId w:val="1"/>
        </w:numPr>
        <w:tabs>
          <w:tab w:val="left" w:pos="5760"/>
        </w:tabs>
      </w:pPr>
      <w:r w:rsidRPr="00E45F2F">
        <w:t>Model</w:t>
      </w:r>
    </w:p>
    <w:p w14:paraId="02D3F39C" w14:textId="77777777" w:rsidR="00E45F2F" w:rsidRPr="00E45F2F" w:rsidRDefault="00E45F2F" w:rsidP="00E45F2F">
      <w:pPr>
        <w:pStyle w:val="ListParagraph"/>
        <w:numPr>
          <w:ilvl w:val="1"/>
          <w:numId w:val="1"/>
        </w:numPr>
        <w:tabs>
          <w:tab w:val="left" w:pos="5760"/>
        </w:tabs>
      </w:pPr>
      <w:r w:rsidRPr="00E45F2F">
        <w:t>IP Address</w:t>
      </w:r>
    </w:p>
    <w:p w14:paraId="183562DF" w14:textId="77777777" w:rsidR="00E45F2F" w:rsidRPr="00E45F2F" w:rsidRDefault="00E45F2F" w:rsidP="00E45F2F">
      <w:pPr>
        <w:pStyle w:val="ListParagraph"/>
        <w:numPr>
          <w:ilvl w:val="1"/>
          <w:numId w:val="1"/>
        </w:numPr>
        <w:tabs>
          <w:tab w:val="left" w:pos="5760"/>
        </w:tabs>
      </w:pPr>
      <w:r w:rsidRPr="00E45F2F">
        <w:t>Device Type</w:t>
      </w:r>
    </w:p>
    <w:p w14:paraId="531EBC27" w14:textId="77777777" w:rsidR="00E45F2F" w:rsidRPr="00E45F2F" w:rsidRDefault="00E45F2F" w:rsidP="00E45F2F">
      <w:pPr>
        <w:pStyle w:val="ListParagraph"/>
        <w:numPr>
          <w:ilvl w:val="1"/>
          <w:numId w:val="1"/>
        </w:numPr>
        <w:tabs>
          <w:tab w:val="left" w:pos="5760"/>
        </w:tabs>
      </w:pPr>
      <w:r w:rsidRPr="00E45F2F">
        <w:t>Description</w:t>
      </w:r>
    </w:p>
    <w:p w14:paraId="5D2510C2" w14:textId="77777777" w:rsidR="00E45F2F" w:rsidRPr="00E45F2F" w:rsidRDefault="00E45F2F" w:rsidP="00E45F2F">
      <w:pPr>
        <w:pStyle w:val="ListParagraph"/>
        <w:numPr>
          <w:ilvl w:val="1"/>
          <w:numId w:val="1"/>
        </w:numPr>
        <w:tabs>
          <w:tab w:val="left" w:pos="5760"/>
        </w:tabs>
      </w:pPr>
      <w:r w:rsidRPr="00E45F2F">
        <w:t>Physical Address</w:t>
      </w:r>
    </w:p>
    <w:p w14:paraId="7200BC03" w14:textId="77777777" w:rsidR="00E45F2F" w:rsidRPr="00E45F2F" w:rsidRDefault="00E45F2F" w:rsidP="00E45F2F">
      <w:pPr>
        <w:pStyle w:val="ListParagraph"/>
        <w:numPr>
          <w:ilvl w:val="1"/>
          <w:numId w:val="1"/>
        </w:numPr>
        <w:tabs>
          <w:tab w:val="left" w:pos="5760"/>
        </w:tabs>
      </w:pPr>
      <w:r w:rsidRPr="00E45F2F">
        <w:t>Room Number</w:t>
      </w:r>
    </w:p>
    <w:p w14:paraId="2139C19E" w14:textId="77777777" w:rsidR="00E45F2F" w:rsidRPr="00E45F2F" w:rsidRDefault="00E45F2F" w:rsidP="00E45F2F">
      <w:pPr>
        <w:pStyle w:val="ListParagraph"/>
        <w:numPr>
          <w:ilvl w:val="1"/>
          <w:numId w:val="1"/>
        </w:numPr>
        <w:tabs>
          <w:tab w:val="left" w:pos="5760"/>
        </w:tabs>
      </w:pPr>
      <w:r w:rsidRPr="00E45F2F">
        <w:t>Operating System</w:t>
      </w:r>
    </w:p>
    <w:p w14:paraId="3FC58E0F" w14:textId="77777777" w:rsidR="0014457C" w:rsidRDefault="00E45F2F" w:rsidP="00E45F2F">
      <w:pPr>
        <w:pStyle w:val="ListParagraph"/>
        <w:numPr>
          <w:ilvl w:val="1"/>
          <w:numId w:val="1"/>
        </w:numPr>
        <w:tabs>
          <w:tab w:val="left" w:pos="5760"/>
        </w:tabs>
      </w:pPr>
      <w:r w:rsidRPr="00E45F2F">
        <w:t>Serial Tag / Serial No.</w:t>
      </w:r>
    </w:p>
    <w:p w14:paraId="18E7B01D" w14:textId="77777777" w:rsidR="00E45F2F" w:rsidRDefault="00E45F2F" w:rsidP="00E45F2F">
      <w:pPr>
        <w:pStyle w:val="ListParagraph"/>
        <w:numPr>
          <w:ilvl w:val="0"/>
          <w:numId w:val="1"/>
        </w:numPr>
        <w:tabs>
          <w:tab w:val="left" w:pos="5760"/>
        </w:tabs>
      </w:pPr>
      <w:r>
        <w:t xml:space="preserve">Enter the following under the </w:t>
      </w:r>
      <w:r w:rsidRPr="00E45F2F">
        <w:rPr>
          <w:b/>
        </w:rPr>
        <w:t>Contacts</w:t>
      </w:r>
      <w:r>
        <w:t xml:space="preserve"> tab:</w:t>
      </w:r>
    </w:p>
    <w:p w14:paraId="0B5C1A23" w14:textId="77777777" w:rsidR="00E45F2F" w:rsidRDefault="00E45F2F" w:rsidP="00E45F2F">
      <w:pPr>
        <w:pStyle w:val="ListParagraph"/>
        <w:numPr>
          <w:ilvl w:val="1"/>
          <w:numId w:val="1"/>
        </w:numPr>
        <w:tabs>
          <w:tab w:val="left" w:pos="5760"/>
        </w:tabs>
      </w:pPr>
      <w:r>
        <w:t>IT Custodian</w:t>
      </w:r>
    </w:p>
    <w:p w14:paraId="67635CC5" w14:textId="77777777" w:rsidR="00E45F2F" w:rsidRDefault="00E45F2F" w:rsidP="00E45F2F">
      <w:pPr>
        <w:pStyle w:val="ListParagraph"/>
        <w:numPr>
          <w:ilvl w:val="1"/>
          <w:numId w:val="1"/>
        </w:numPr>
        <w:tabs>
          <w:tab w:val="left" w:pos="5760"/>
        </w:tabs>
      </w:pPr>
      <w:r>
        <w:t>System Owner</w:t>
      </w:r>
    </w:p>
    <w:p w14:paraId="69EAEA46" w14:textId="77777777" w:rsidR="00E45F2F" w:rsidRDefault="00E45F2F" w:rsidP="00E45F2F">
      <w:pPr>
        <w:pStyle w:val="ListParagraph"/>
        <w:numPr>
          <w:ilvl w:val="1"/>
          <w:numId w:val="1"/>
        </w:numPr>
        <w:tabs>
          <w:tab w:val="left" w:pos="5760"/>
        </w:tabs>
      </w:pPr>
      <w:r>
        <w:t>Department EA</w:t>
      </w:r>
    </w:p>
    <w:p w14:paraId="742A712B" w14:textId="77777777" w:rsidR="00E45F2F" w:rsidRDefault="00E45F2F" w:rsidP="00E45F2F">
      <w:pPr>
        <w:pStyle w:val="ListParagraph"/>
        <w:numPr>
          <w:ilvl w:val="0"/>
          <w:numId w:val="1"/>
        </w:numPr>
        <w:tabs>
          <w:tab w:val="left" w:pos="5760"/>
        </w:tabs>
      </w:pPr>
      <w:r>
        <w:t xml:space="preserve">Enter the following under the </w:t>
      </w:r>
      <w:r w:rsidRPr="00E45F2F">
        <w:rPr>
          <w:b/>
        </w:rPr>
        <w:t>Confidentiality, Integrity and Availability Scoring</w:t>
      </w:r>
      <w:r w:rsidRPr="00E45F2F">
        <w:t xml:space="preserve"> tab</w:t>
      </w:r>
      <w:r>
        <w:t>:</w:t>
      </w:r>
    </w:p>
    <w:p w14:paraId="1B44747C" w14:textId="77777777" w:rsidR="000E2D8D" w:rsidRPr="000E2D8D" w:rsidRDefault="000E2D8D" w:rsidP="000E2D8D">
      <w:pPr>
        <w:pStyle w:val="ListParagraph"/>
        <w:numPr>
          <w:ilvl w:val="1"/>
          <w:numId w:val="1"/>
        </w:numPr>
        <w:tabs>
          <w:tab w:val="left" w:pos="5760"/>
        </w:tabs>
      </w:pPr>
      <w:r w:rsidRPr="000E2D8D">
        <w:t>Data Availability Score</w:t>
      </w:r>
    </w:p>
    <w:p w14:paraId="2C35883F" w14:textId="77777777" w:rsidR="000E2D8D" w:rsidRPr="000E2D8D" w:rsidRDefault="000E2D8D" w:rsidP="000E2D8D">
      <w:pPr>
        <w:pStyle w:val="ListParagraph"/>
        <w:numPr>
          <w:ilvl w:val="2"/>
          <w:numId w:val="1"/>
        </w:numPr>
        <w:tabs>
          <w:tab w:val="left" w:pos="5760"/>
        </w:tabs>
      </w:pPr>
      <w:r>
        <w:t>Data Availability Score Comment</w:t>
      </w:r>
    </w:p>
    <w:p w14:paraId="1CB8B281" w14:textId="77777777" w:rsidR="000E2D8D" w:rsidRPr="000E2D8D" w:rsidRDefault="000E2D8D" w:rsidP="000E2D8D">
      <w:pPr>
        <w:pStyle w:val="ListParagraph"/>
        <w:numPr>
          <w:ilvl w:val="1"/>
          <w:numId w:val="1"/>
        </w:numPr>
        <w:tabs>
          <w:tab w:val="left" w:pos="5760"/>
        </w:tabs>
      </w:pPr>
      <w:r>
        <w:t>Data Confidentiality Score</w:t>
      </w:r>
    </w:p>
    <w:p w14:paraId="74A4BBA1" w14:textId="77777777" w:rsidR="000E2D8D" w:rsidRPr="000E2D8D" w:rsidRDefault="000E2D8D" w:rsidP="000E2D8D">
      <w:pPr>
        <w:pStyle w:val="ListParagraph"/>
        <w:numPr>
          <w:ilvl w:val="2"/>
          <w:numId w:val="1"/>
        </w:numPr>
        <w:tabs>
          <w:tab w:val="left" w:pos="5760"/>
        </w:tabs>
      </w:pPr>
      <w:r w:rsidRPr="000E2D8D">
        <w:t>Data Confidentiality Score Comment</w:t>
      </w:r>
    </w:p>
    <w:p w14:paraId="6EBEF53D" w14:textId="77777777" w:rsidR="000E2D8D" w:rsidRPr="000E2D8D" w:rsidRDefault="000E2D8D" w:rsidP="000E2D8D">
      <w:pPr>
        <w:pStyle w:val="ListParagraph"/>
        <w:numPr>
          <w:ilvl w:val="1"/>
          <w:numId w:val="1"/>
        </w:numPr>
        <w:tabs>
          <w:tab w:val="left" w:pos="5760"/>
        </w:tabs>
      </w:pPr>
      <w:r w:rsidRPr="000E2D8D">
        <w:t>Data Integrity Score</w:t>
      </w:r>
    </w:p>
    <w:p w14:paraId="2ED318C7" w14:textId="77777777" w:rsidR="000E2D8D" w:rsidRPr="000E2D8D" w:rsidRDefault="000E2D8D" w:rsidP="000E2D8D">
      <w:pPr>
        <w:pStyle w:val="ListParagraph"/>
        <w:numPr>
          <w:ilvl w:val="2"/>
          <w:numId w:val="1"/>
        </w:numPr>
        <w:tabs>
          <w:tab w:val="left" w:pos="5760"/>
        </w:tabs>
      </w:pPr>
      <w:r w:rsidRPr="000E2D8D">
        <w:t>Data Integrity Score</w:t>
      </w:r>
      <w:r>
        <w:t xml:space="preserve"> Comment</w:t>
      </w:r>
    </w:p>
    <w:p w14:paraId="736A4841" w14:textId="77777777" w:rsidR="000E2D8D" w:rsidRDefault="000E2D8D" w:rsidP="000E2D8D">
      <w:pPr>
        <w:tabs>
          <w:tab w:val="left" w:pos="5760"/>
        </w:tabs>
      </w:pPr>
    </w:p>
    <w:p w14:paraId="4F62EE22" w14:textId="63119516" w:rsidR="00E45F2F" w:rsidRPr="000E2D8D" w:rsidRDefault="000E2D8D" w:rsidP="000E2D8D">
      <w:pPr>
        <w:tabs>
          <w:tab w:val="left" w:pos="2120"/>
        </w:tabs>
      </w:pPr>
      <w:r>
        <w:rPr>
          <w:noProof/>
        </w:rPr>
        <mc:AlternateContent>
          <mc:Choice Requires="wps">
            <w:drawing>
              <wp:anchor distT="0" distB="0" distL="114300" distR="114300" simplePos="0" relativeHeight="251661312" behindDoc="0" locked="0" layoutInCell="1" allowOverlap="1" wp14:anchorId="2835A246" wp14:editId="4679527B">
                <wp:simplePos x="0" y="0"/>
                <wp:positionH relativeFrom="column">
                  <wp:posOffset>114300</wp:posOffset>
                </wp:positionH>
                <wp:positionV relativeFrom="paragraph">
                  <wp:posOffset>105410</wp:posOffset>
                </wp:positionV>
                <wp:extent cx="5372100" cy="571500"/>
                <wp:effectExtent l="50800" t="25400" r="88900" b="114300"/>
                <wp:wrapThrough wrapText="bothSides">
                  <wp:wrapPolygon edited="0">
                    <wp:start x="-102" y="-960"/>
                    <wp:lineTo x="-204" y="0"/>
                    <wp:lineTo x="-204" y="24960"/>
                    <wp:lineTo x="21651" y="24960"/>
                    <wp:lineTo x="21855" y="16320"/>
                    <wp:lineTo x="21855" y="-960"/>
                    <wp:lineTo x="-102" y="-960"/>
                  </wp:wrapPolygon>
                </wp:wrapThrough>
                <wp:docPr id="3" name="Round Diagonal Corner Rectangle 3"/>
                <wp:cNvGraphicFramePr/>
                <a:graphic xmlns:a="http://schemas.openxmlformats.org/drawingml/2006/main">
                  <a:graphicData uri="http://schemas.microsoft.com/office/word/2010/wordprocessingShape">
                    <wps:wsp>
                      <wps:cNvSpPr/>
                      <wps:spPr>
                        <a:xfrm>
                          <a:off x="0" y="0"/>
                          <a:ext cx="5372100" cy="571500"/>
                        </a:xfrm>
                        <a:prstGeom prst="round2DiagRect">
                          <a:avLst/>
                        </a:prstGeom>
                        <a:solidFill>
                          <a:srgbClr val="800000"/>
                        </a:solidFill>
                      </wps:spPr>
                      <wps:style>
                        <a:lnRef idx="1">
                          <a:schemeClr val="accent2"/>
                        </a:lnRef>
                        <a:fillRef idx="3">
                          <a:schemeClr val="accent2"/>
                        </a:fillRef>
                        <a:effectRef idx="2">
                          <a:schemeClr val="accent2"/>
                        </a:effectRef>
                        <a:fontRef idx="minor">
                          <a:schemeClr val="lt1"/>
                        </a:fontRef>
                      </wps:style>
                      <wps:txbx>
                        <w:txbxContent>
                          <w:p w14:paraId="3351C987" w14:textId="77777777" w:rsidR="002D46EB" w:rsidRPr="009153DB" w:rsidRDefault="002D46EB" w:rsidP="000E2D8D">
                            <w:pPr>
                              <w:rPr>
                                <w:b/>
                                <w:i/>
                                <w:color w:val="FFFFFF" w:themeColor="background1"/>
                              </w:rPr>
                            </w:pPr>
                            <w:r w:rsidRPr="00816BBC">
                              <w:rPr>
                                <w:i/>
                              </w:rPr>
                              <w:t xml:space="preserve">Note: </w:t>
                            </w:r>
                            <w:r>
                              <w:rPr>
                                <w:i/>
                              </w:rPr>
                              <w:t xml:space="preserve">For more information on performing CIA scoring for a </w:t>
                            </w:r>
                            <w:r w:rsidRPr="009153DB">
                              <w:rPr>
                                <w:i/>
                                <w:color w:val="FFFFFF" w:themeColor="background1"/>
                              </w:rPr>
                              <w:t xml:space="preserve">system, see </w:t>
                            </w:r>
                            <w:hyperlink r:id="rId13" w:history="1">
                              <w:r w:rsidRPr="009153DB">
                                <w:rPr>
                                  <w:rStyle w:val="Hyperlink"/>
                                  <w:i/>
                                  <w:color w:val="FFFFFF" w:themeColor="background1"/>
                                </w:rPr>
                                <w:t>Appendix B of the IT Asset Inventory and Categorization standard</w:t>
                              </w:r>
                            </w:hyperlink>
                            <w:r w:rsidRPr="009153DB">
                              <w:rPr>
                                <w:i/>
                                <w:color w:val="FFFFFF" w:themeColor="background1"/>
                              </w:rPr>
                              <w:t>.</w:t>
                            </w:r>
                          </w:p>
                          <w:p w14:paraId="63AD10D0" w14:textId="77777777" w:rsidR="002D46EB" w:rsidRPr="009153DB" w:rsidRDefault="002D46EB" w:rsidP="000E2D8D">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7" style="position:absolute;margin-left:9pt;margin-top:8.3pt;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2100,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Yjuo0CAAB8BQAADgAAAGRycy9lMm9Eb2MueG1srFRfa9swEH8f7DsIva+OnWbtQp0SUjoGpQ1t&#10;R58VWUoMsk47KbGzT7+T4rihKxTG8qDc+e53/++urrvGsJ1CX4MteX424kxZCVVt1yX/+Xz75ZIz&#10;H4SthAGrSr5Xnl/PPn+6at1UFbABUylkZMT6aetKvgnBTbPMy41qhD8DpywJNWAjArG4zioULVlv&#10;TFaMRl+zFrByCFJ5T19vDkI+S/a1VjI8aO1VYKbkFFtIL6Z3Fd9sdiWmaxRuU8s+DPEPUTSituR0&#10;MHUjgmBbrP8y1dQSwYMOZxKaDLSupUo5UDb56E02TxvhVMqFiuPdUCb//8zK+90SWV2VfMyZFQ21&#10;6BG2tmI3tViDFYYtAC216JFKKezaKDaORWudnxL2yS2x5zyRsQKdxib+U26sS4XeD4VWXWCSPk7G&#10;F0U+on5Ikk0u8gnRZCZ7RTv04buChkWi5BhjKmJMMY5UabG78+EAOipHtx5MXd3WxiQG16uFQbYT&#10;1P7LUfz1fk7UspjLIfpEhb1REWzso9JUGoo3Tx7TUKrBnpBS2VD0BpN2hGnyPQDHHwN7/QhVaWAH&#10;cPExeEAkz2DDAG5qC/ieARPyPmR90Ke6n+QdydCtujQTSTN+WUG1pzlBOCyQd/K2psbcCR+WAmlj&#10;qJd0BcIDPdpAW3LoKc42gL/f+x71aZBJyllLG1hy/2srUHFmflga8W/5+Xlc2cScTy4KYvBUsjqV&#10;2G2zAOpyTvfGyURG/WCOpEZoXuhYzKNXEgkryXfJZcAjswiHy0DnRqr5PKnRmjoR7uyTk8c5iOP2&#10;3L0IdP10Bprrezhuq5i+Gc2DbuyQhfk2gK7T3L7Wte8ArXjagf4cxRtyyiet16M5+wMAAP//AwBQ&#10;SwMEFAAGAAgAAAAhAD7JAgrbAAAACQEAAA8AAABkcnMvZG93bnJldi54bWxMT8tOwzAQvCP1H6yt&#10;xI06RSikaZyqqoTUI5QCPTrxkkTE6xA7rfv3LCc4reah2ZliE20vzjj6zpGC5SIBgVQ701Gj4Pj6&#10;dJeB8EGT0b0jVHBFD5tydlPo3LgLveD5EBrBIeRzraANYcil9HWLVvuFG5BY+3Sj1YHh2Egz6guH&#10;217eJ0kqre6IP7R6wF2L9ddhsgrePrbX2FSn5/rxuIr792/cD6dJqdt53K5BBIzhzwy/9bk6lNyp&#10;chMZL3rGGU8JfNMUBOtZ+sBExUTCjCwL+X9B+QMAAP//AwBQSwECLQAUAAYACAAAACEA5JnDwPsA&#10;AADhAQAAEwAAAAAAAAAAAAAAAAAAAAAAW0NvbnRlbnRfVHlwZXNdLnhtbFBLAQItABQABgAIAAAA&#10;IQAjsmrh1wAAAJQBAAALAAAAAAAAAAAAAAAAACwBAABfcmVscy8ucmVsc1BLAQItABQABgAIAAAA&#10;IQAqJiO6jQIAAHwFAAAOAAAAAAAAAAAAAAAAACwCAABkcnMvZTJvRG9jLnhtbFBLAQItABQABgAI&#10;AAAAIQA+yQIK2wAAAAkBAAAPAAAAAAAAAAAAAAAAAOUEAABkcnMvZG93bnJldi54bWxQSwUGAAAA&#10;AAQABADzAAAA7QUAAAAA&#10;" adj="-11796480,,5400" path="m95252,0l5372100,,5372100,,5372100,476248c5372100,528854,5329454,571500,5276848,571500l0,571500,,571500,,95252c0,42646,42646,,95252,0xe" fillcolor="maroon" strokecolor="#bc4542 [3045]">
                <v:stroke joinstyle="miter"/>
                <v:shadow on="t" opacity="22937f" mv:blur="40000f" origin=",.5" offset="0,23000emu"/>
                <v:formulas/>
                <v:path arrowok="t" o:connecttype="custom" o:connectlocs="95252,0;5372100,0;5372100,0;5372100,476248;5276848,571500;0,571500;0,571500;0,95252;95252,0" o:connectangles="0,0,0,0,0,0,0,0,0" textboxrect="0,0,5372100,571500"/>
                <v:textbox>
                  <w:txbxContent>
                    <w:p w14:paraId="3351C987" w14:textId="77777777" w:rsidR="002D46EB" w:rsidRPr="009153DB" w:rsidRDefault="002D46EB" w:rsidP="000E2D8D">
                      <w:pPr>
                        <w:rPr>
                          <w:b/>
                          <w:i/>
                          <w:color w:val="FFFFFF" w:themeColor="background1"/>
                        </w:rPr>
                      </w:pPr>
                      <w:r w:rsidRPr="00816BBC">
                        <w:rPr>
                          <w:i/>
                        </w:rPr>
                        <w:t xml:space="preserve">Note: </w:t>
                      </w:r>
                      <w:r>
                        <w:rPr>
                          <w:i/>
                        </w:rPr>
                        <w:t xml:space="preserve">For more information on performing CIA scoring for a </w:t>
                      </w:r>
                      <w:r w:rsidRPr="009153DB">
                        <w:rPr>
                          <w:i/>
                          <w:color w:val="FFFFFF" w:themeColor="background1"/>
                        </w:rPr>
                        <w:t xml:space="preserve">system, see </w:t>
                      </w:r>
                      <w:hyperlink r:id="rId14" w:history="1">
                        <w:r w:rsidRPr="009153DB">
                          <w:rPr>
                            <w:rStyle w:val="Hyperlink"/>
                            <w:i/>
                            <w:color w:val="FFFFFF" w:themeColor="background1"/>
                          </w:rPr>
                          <w:t>Appendix B of the IT Asset Inventory and Categorization standard</w:t>
                        </w:r>
                      </w:hyperlink>
                      <w:r w:rsidRPr="009153DB">
                        <w:rPr>
                          <w:i/>
                          <w:color w:val="FFFFFF" w:themeColor="background1"/>
                        </w:rPr>
                        <w:t>.</w:t>
                      </w:r>
                    </w:p>
                    <w:p w14:paraId="63AD10D0" w14:textId="77777777" w:rsidR="002D46EB" w:rsidRPr="009153DB" w:rsidRDefault="002D46EB" w:rsidP="000E2D8D">
                      <w:pPr>
                        <w:rPr>
                          <w:color w:val="FFFFFF" w:themeColor="background1"/>
                        </w:rPr>
                      </w:pPr>
                    </w:p>
                  </w:txbxContent>
                </v:textbox>
                <w10:wrap type="through"/>
              </v:shape>
            </w:pict>
          </mc:Fallback>
        </mc:AlternateContent>
      </w:r>
      <w:r>
        <w:tab/>
      </w:r>
    </w:p>
    <w:p w14:paraId="21566665" w14:textId="77777777" w:rsidR="000E2D8D" w:rsidRDefault="009153DB" w:rsidP="009153DB">
      <w:pPr>
        <w:pStyle w:val="ListParagraph"/>
        <w:numPr>
          <w:ilvl w:val="0"/>
          <w:numId w:val="1"/>
        </w:numPr>
        <w:tabs>
          <w:tab w:val="left" w:pos="5760"/>
        </w:tabs>
      </w:pPr>
      <w:r>
        <w:t xml:space="preserve">Click </w:t>
      </w:r>
      <w:r>
        <w:rPr>
          <w:b/>
        </w:rPr>
        <w:t>Save</w:t>
      </w:r>
      <w:r>
        <w:t>.</w:t>
      </w:r>
    </w:p>
    <w:p w14:paraId="0AA2F494" w14:textId="2D8A9C6C" w:rsidR="009153DB" w:rsidRDefault="009153DB" w:rsidP="009153DB">
      <w:pPr>
        <w:tabs>
          <w:tab w:val="left" w:pos="5760"/>
        </w:tabs>
      </w:pPr>
    </w:p>
    <w:p w14:paraId="07A99162" w14:textId="11E6CAA5" w:rsidR="005D1313" w:rsidRPr="00A1716B" w:rsidRDefault="00A1716B" w:rsidP="009153DB">
      <w:pPr>
        <w:tabs>
          <w:tab w:val="left" w:pos="5760"/>
        </w:tabs>
      </w:pPr>
      <w:r>
        <w:rPr>
          <w:noProof/>
        </w:rPr>
        <mc:AlternateContent>
          <mc:Choice Requires="wps">
            <w:drawing>
              <wp:anchor distT="0" distB="0" distL="114300" distR="114300" simplePos="0" relativeHeight="251663360" behindDoc="0" locked="0" layoutInCell="1" allowOverlap="1" wp14:anchorId="498884A1" wp14:editId="663E0634">
                <wp:simplePos x="0" y="0"/>
                <wp:positionH relativeFrom="column">
                  <wp:posOffset>114300</wp:posOffset>
                </wp:positionH>
                <wp:positionV relativeFrom="paragraph">
                  <wp:posOffset>525780</wp:posOffset>
                </wp:positionV>
                <wp:extent cx="5372100" cy="1143000"/>
                <wp:effectExtent l="50800" t="25400" r="88900" b="101600"/>
                <wp:wrapThrough wrapText="bothSides">
                  <wp:wrapPolygon edited="0">
                    <wp:start x="204" y="-480"/>
                    <wp:lineTo x="-204" y="0"/>
                    <wp:lineTo x="-204" y="23040"/>
                    <wp:lineTo x="21345" y="23040"/>
                    <wp:lineTo x="21855" y="15840"/>
                    <wp:lineTo x="21855" y="-480"/>
                    <wp:lineTo x="204" y="-480"/>
                  </wp:wrapPolygon>
                </wp:wrapThrough>
                <wp:docPr id="5" name="Round Diagonal Corner Rectangle 5"/>
                <wp:cNvGraphicFramePr/>
                <a:graphic xmlns:a="http://schemas.openxmlformats.org/drawingml/2006/main">
                  <a:graphicData uri="http://schemas.microsoft.com/office/word/2010/wordprocessingShape">
                    <wps:wsp>
                      <wps:cNvSpPr/>
                      <wps:spPr>
                        <a:xfrm>
                          <a:off x="0" y="0"/>
                          <a:ext cx="5372100" cy="1143000"/>
                        </a:xfrm>
                        <a:prstGeom prst="round2DiagRect">
                          <a:avLst/>
                        </a:prstGeom>
                        <a:solidFill>
                          <a:srgbClr val="800000"/>
                        </a:solidFill>
                      </wps:spPr>
                      <wps:style>
                        <a:lnRef idx="1">
                          <a:schemeClr val="accent2"/>
                        </a:lnRef>
                        <a:fillRef idx="3">
                          <a:schemeClr val="accent2"/>
                        </a:fillRef>
                        <a:effectRef idx="2">
                          <a:schemeClr val="accent2"/>
                        </a:effectRef>
                        <a:fontRef idx="minor">
                          <a:schemeClr val="lt1"/>
                        </a:fontRef>
                      </wps:style>
                      <wps:txbx>
                        <w:txbxContent>
                          <w:p w14:paraId="014BCD94" w14:textId="5EB56C27" w:rsidR="00A1716B" w:rsidRPr="009153DB" w:rsidRDefault="00A1716B" w:rsidP="00A1716B">
                            <w:pPr>
                              <w:rPr>
                                <w:b/>
                                <w:i/>
                                <w:color w:val="FFFFFF" w:themeColor="background1"/>
                              </w:rPr>
                            </w:pPr>
                            <w:r w:rsidRPr="00816BBC">
                              <w:rPr>
                                <w:i/>
                              </w:rPr>
                              <w:t xml:space="preserve">Note: </w:t>
                            </w:r>
                            <w:r>
                              <w:rPr>
                                <w:i/>
                              </w:rPr>
                              <w:t xml:space="preserve">Regarding possible integration between a departmental asset management solution and LockPath; utilizing API, we are able to automate the import of requested fields using our BSD IT Asset Integration Engine, Ambassador. If you wouls like more information on this subject, please contact us via email at </w:t>
                            </w:r>
                            <w:r w:rsidRPr="00A1716B">
                              <w:rPr>
                                <w:i/>
                              </w:rPr>
                              <w:t>s.cri.security@bsd.uchicago.edu</w:t>
                            </w:r>
                            <w:r>
                              <w:rPr>
                                <w:i/>
                              </w:rPr>
                              <w:t xml:space="preserve">.  </w:t>
                            </w:r>
                          </w:p>
                          <w:p w14:paraId="541A615C" w14:textId="77777777" w:rsidR="00A1716B" w:rsidRPr="009153DB" w:rsidRDefault="00A1716B" w:rsidP="00A1716B">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28" style="position:absolute;margin-left:9pt;margin-top:41.4pt;width:42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21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5QY0CAAB9BQAADgAAAGRycy9lMm9Eb2MueG1srFRfa9swEH8f7DsIva+O02TtQp0SUjoGpQ1t&#10;R58VWUoMsk47KbGzT7+T7LihKxTGXuw73f3u/93VdVsbtlfoK7AFz89GnCkroazspuA/n2+/XHLm&#10;g7ClMGBVwQ/K8+v5509XjZupMWzBlAoZGbF+1riCb0Nwsyzzcqtq4c/AKUtCDViLQCxushJFQ9Zr&#10;k41Ho69ZA1g6BKm8p9ebTsjnyb7WSoYHrb0KzBScYgvpi+m7jt9sfiVmGxRuW8k+DPEPUdSisuR0&#10;MHUjgmA7rP4yVVcSwYMOZxLqDLSupEo5UDb56E02T1vhVMqFiuPdUCb//8zK+/0KWVUWfMqZFTW1&#10;6BF2tmQ3ldiAFYYtAS216JFKKezGKDaNRWucnxH2ya2w5zyRsQKtxjr+KTfWpkIfhkKrNjBJj9Pz&#10;i3E+on5IkuX55HxEDNnJXuEOffiuoGaRKDjGoMYxqBhIKrXY3/nQgY7K0a8HU5W3lTGJwc16aZDt&#10;BfX/krwMfk7UsphMF36iwsGoCDb2UWmqDQWcJ49pKtVgT0ipbBj3gSftCNPkewCefwzs9SNUpYkd&#10;wOOPwQMieQYbBnBdWcD3DJiQ9yHrTp/qfpJ3JEO7btNQpOTiyxrKAw0KQrdB3snbihpzJ3xYCaSV&#10;oWbSGQgP9NEGmoJDT3G2Bfz93nvUp0kmKWcNrWDB/a+dQMWZ+WFpxr/lk0nc2cRMphdjYvBUsj6V&#10;2F29BOpyTgfHyURG/WCOpEaoX+haLKJXEgkryXfBZcAjswzdaaB7I9VikdRoT50Id/bJyeMcxHF7&#10;bl8Eun46Aw32PRzXVczejGanGztkYbELoKs0t6917TtAO552oL9H8Yic8knr9WrO/wAAAP//AwBQ&#10;SwMEFAAGAAgAAAAhAJb++HzaAAAACQEAAA8AAABkcnMvZG93bnJldi54bWxMj8FugzAQRO+V8g/W&#10;RuqtMUUtcigmqiLxAU3au8EbQMFrhB2g+fpuT+1xZlazb4rD6gYx4xR6TxqedwkIpMbbnloNn+fq&#10;SYEI0ZA1gyfU8I0BDuXmoTC59Qt94HyKreASCrnR0MU45lKGpkNnws6PSJxd/ORMZDm10k5m4XI3&#10;yDRJMulMT/yhMyMeO2yup5vTcF1Udc761/p+me3eVWO/v38dtX7cru9vICKu8e8YfvEZHUpmqv2N&#10;bBADa8VTogaV8gLOVfbCRq0hzdiRZSH/Lyh/AAAA//8DAFBLAQItABQABgAIAAAAIQDkmcPA+wAA&#10;AOEBAAATAAAAAAAAAAAAAAAAAAAAAABbQ29udGVudF9UeXBlc10ueG1sUEsBAi0AFAAGAAgAAAAh&#10;ACOyauHXAAAAlAEAAAsAAAAAAAAAAAAAAAAALAEAAF9yZWxzLy5yZWxzUEsBAi0AFAAGAAgAAAAh&#10;AEYs+UGNAgAAfQUAAA4AAAAAAAAAAAAAAAAALAIAAGRycy9lMm9Eb2MueG1sUEsBAi0AFAAGAAgA&#10;AAAhAJb++HzaAAAACQEAAA8AAAAAAAAAAAAAAAAA5QQAAGRycy9kb3ducmV2LnhtbFBLBQYAAAAA&#10;BAAEAPMAAADsBQAAAAA=&#10;" adj="-11796480,,5400" path="m190504,0l5372100,,5372100,,5372100,952496c5372100,1057708,5286808,1143000,5181596,1143000l0,1143000,,1143000,,190504c0,85292,85292,,190504,0xe" fillcolor="maroon" strokecolor="#bc4542 [3045]">
                <v:stroke joinstyle="miter"/>
                <v:shadow on="t" opacity="22937f" mv:blur="40000f" origin=",.5" offset="0,23000emu"/>
                <v:formulas/>
                <v:path arrowok="t" o:connecttype="custom" o:connectlocs="190504,0;5372100,0;5372100,0;5372100,952496;5181596,1143000;0,1143000;0,1143000;0,190504;190504,0" o:connectangles="0,0,0,0,0,0,0,0,0" textboxrect="0,0,5372100,1143000"/>
                <v:textbox>
                  <w:txbxContent>
                    <w:p w14:paraId="014BCD94" w14:textId="5EB56C27" w:rsidR="00A1716B" w:rsidRPr="009153DB" w:rsidRDefault="00A1716B" w:rsidP="00A1716B">
                      <w:pPr>
                        <w:rPr>
                          <w:b/>
                          <w:i/>
                          <w:color w:val="FFFFFF" w:themeColor="background1"/>
                        </w:rPr>
                      </w:pPr>
                      <w:r w:rsidRPr="00816BBC">
                        <w:rPr>
                          <w:i/>
                        </w:rPr>
                        <w:t xml:space="preserve">Note: </w:t>
                      </w:r>
                      <w:r>
                        <w:rPr>
                          <w:i/>
                        </w:rPr>
                        <w:t xml:space="preserve">Regarding possible integration between a departmental asset management solution and LockPath; utilizing API, we are able to automate the import of requested fields using our BSD IT Asset Integration Engine, Ambassador. If you wouls like more information on this subject, please contact us via email at </w:t>
                      </w:r>
                      <w:r w:rsidRPr="00A1716B">
                        <w:rPr>
                          <w:i/>
                        </w:rPr>
                        <w:t>s.cri.security@bsd.uchicago.edu</w:t>
                      </w:r>
                      <w:r>
                        <w:rPr>
                          <w:i/>
                        </w:rPr>
                        <w:t xml:space="preserve">.  </w:t>
                      </w:r>
                    </w:p>
                    <w:p w14:paraId="541A615C" w14:textId="77777777" w:rsidR="00A1716B" w:rsidRPr="009153DB" w:rsidRDefault="00A1716B" w:rsidP="00A1716B">
                      <w:pPr>
                        <w:rPr>
                          <w:color w:val="FFFFFF" w:themeColor="background1"/>
                        </w:rPr>
                      </w:pPr>
                    </w:p>
                  </w:txbxContent>
                </v:textbox>
                <w10:wrap type="through"/>
              </v:shape>
            </w:pict>
          </mc:Fallback>
        </mc:AlternateContent>
      </w:r>
      <w:r w:rsidR="009153DB">
        <w:t xml:space="preserve">Your device will be verified and added to the LockPath database. </w:t>
      </w:r>
      <w:r w:rsidR="00676A6F">
        <w:t xml:space="preserve">Thank you for your contribution. </w:t>
      </w:r>
    </w:p>
    <w:sectPr w:rsidR="005D1313" w:rsidRPr="00A1716B" w:rsidSect="00066FB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D735" w14:textId="77777777" w:rsidR="002D46EB" w:rsidRDefault="002D46EB" w:rsidP="009153DB">
      <w:r>
        <w:separator/>
      </w:r>
    </w:p>
  </w:endnote>
  <w:endnote w:type="continuationSeparator" w:id="0">
    <w:p w14:paraId="54C1646C" w14:textId="77777777" w:rsidR="002D46EB" w:rsidRDefault="002D46EB" w:rsidP="009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940B" w14:textId="77777777" w:rsidR="002D46EB" w:rsidRDefault="002D46EB" w:rsidP="005D1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4A81" w14:textId="77777777" w:rsidR="002D46EB" w:rsidRDefault="002D46EB" w:rsidP="00676A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79E2B" w14:textId="77777777" w:rsidR="002D46EB" w:rsidRDefault="002D46EB" w:rsidP="005D1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63C">
      <w:rPr>
        <w:rStyle w:val="PageNumber"/>
        <w:noProof/>
      </w:rPr>
      <w:t>1</w:t>
    </w:r>
    <w:r>
      <w:rPr>
        <w:rStyle w:val="PageNumber"/>
      </w:rPr>
      <w:fldChar w:fldCharType="end"/>
    </w:r>
  </w:p>
  <w:p w14:paraId="75FBA0F9" w14:textId="77777777" w:rsidR="002D46EB" w:rsidRDefault="002D46EB" w:rsidP="00676A6F">
    <w:pPr>
      <w:pStyle w:val="Header"/>
      <w:ind w:right="360"/>
    </w:pPr>
    <w:r>
      <w:t>LockPath Keylight (Sm)</w:t>
    </w:r>
    <w:r w:rsidRPr="00676A6F">
      <w:t xml:space="preserve"> v4.1.2.004</w:t>
    </w:r>
    <w:r>
      <w:t xml:space="preserve"> – Asset Tracker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9B44" w14:textId="77777777" w:rsidR="002D46EB" w:rsidRDefault="002D4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2130" w14:textId="77777777" w:rsidR="002D46EB" w:rsidRDefault="002D46EB" w:rsidP="009153DB">
      <w:r>
        <w:separator/>
      </w:r>
    </w:p>
  </w:footnote>
  <w:footnote w:type="continuationSeparator" w:id="0">
    <w:p w14:paraId="177CD5E5" w14:textId="77777777" w:rsidR="002D46EB" w:rsidRDefault="002D46EB" w:rsidP="00915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29B8" w14:textId="03974E1A" w:rsidR="002D46EB" w:rsidRDefault="002D46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6F70" w14:textId="53FBF29D" w:rsidR="002D46EB" w:rsidRDefault="002D46EB" w:rsidP="009153DB">
    <w:pPr>
      <w:pStyle w:val="Header"/>
      <w:jc w:val="right"/>
    </w:pPr>
    <w:r>
      <w:t>The University of Chicago</w:t>
    </w:r>
  </w:p>
  <w:p w14:paraId="2634E44B" w14:textId="77777777" w:rsidR="002D46EB" w:rsidRDefault="002D46EB" w:rsidP="009153DB">
    <w:pPr>
      <w:pStyle w:val="Header"/>
      <w:jc w:val="right"/>
    </w:pPr>
    <w:r>
      <w:t>Biological Sciences Division</w:t>
    </w:r>
  </w:p>
  <w:p w14:paraId="5626EB75" w14:textId="77777777" w:rsidR="002D46EB" w:rsidRDefault="002D46EB" w:rsidP="00676A6F">
    <w:pPr>
      <w:pStyle w:val="Header"/>
      <w:jc w:val="right"/>
    </w:pPr>
    <w:r>
      <w:t>Information Security Office</w:t>
    </w:r>
  </w:p>
  <w:p w14:paraId="2E23DC05" w14:textId="77777777" w:rsidR="002D46EB" w:rsidRDefault="002D46EB" w:rsidP="009153D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2A5E" w14:textId="5E9BDF7C" w:rsidR="002D46EB" w:rsidRDefault="002D46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AE26B1"/>
    <w:multiLevelType w:val="hybridMultilevel"/>
    <w:tmpl w:val="318298B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A9103A"/>
    <w:multiLevelType w:val="hybridMultilevel"/>
    <w:tmpl w:val="8E688EC6"/>
    <w:lvl w:ilvl="0" w:tplc="0B981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4726E"/>
    <w:multiLevelType w:val="hybridMultilevel"/>
    <w:tmpl w:val="8EC814C6"/>
    <w:lvl w:ilvl="0" w:tplc="0B981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8450E"/>
    <w:multiLevelType w:val="hybridMultilevel"/>
    <w:tmpl w:val="D1369994"/>
    <w:lvl w:ilvl="0" w:tplc="0B9811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22A96"/>
    <w:multiLevelType w:val="hybridMultilevel"/>
    <w:tmpl w:val="DF461840"/>
    <w:lvl w:ilvl="0" w:tplc="0B9811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9C71D3F"/>
    <w:multiLevelType w:val="hybridMultilevel"/>
    <w:tmpl w:val="66AE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9862C9"/>
    <w:multiLevelType w:val="multilevel"/>
    <w:tmpl w:val="033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21208"/>
    <w:multiLevelType w:val="multilevel"/>
    <w:tmpl w:val="DD3E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66626"/>
    <w:multiLevelType w:val="hybridMultilevel"/>
    <w:tmpl w:val="35AC6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7"/>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1D"/>
    <w:rsid w:val="00066FB1"/>
    <w:rsid w:val="000E2D8D"/>
    <w:rsid w:val="0014457C"/>
    <w:rsid w:val="001D5072"/>
    <w:rsid w:val="002D46EB"/>
    <w:rsid w:val="002F4A1D"/>
    <w:rsid w:val="003513B3"/>
    <w:rsid w:val="004C1F46"/>
    <w:rsid w:val="005D1313"/>
    <w:rsid w:val="00676A6F"/>
    <w:rsid w:val="00685A14"/>
    <w:rsid w:val="006D4261"/>
    <w:rsid w:val="006E74D9"/>
    <w:rsid w:val="006F663C"/>
    <w:rsid w:val="00816BBC"/>
    <w:rsid w:val="009153DB"/>
    <w:rsid w:val="00A1716B"/>
    <w:rsid w:val="00B54E99"/>
    <w:rsid w:val="00E4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A9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D9"/>
    <w:pPr>
      <w:ind w:left="720"/>
      <w:contextualSpacing/>
    </w:pPr>
  </w:style>
  <w:style w:type="character" w:styleId="Hyperlink">
    <w:name w:val="Hyperlink"/>
    <w:basedOn w:val="DefaultParagraphFont"/>
    <w:uiPriority w:val="99"/>
    <w:unhideWhenUsed/>
    <w:rsid w:val="006E74D9"/>
    <w:rPr>
      <w:color w:val="0000FF" w:themeColor="hyperlink"/>
      <w:u w:val="single"/>
    </w:rPr>
  </w:style>
  <w:style w:type="paragraph" w:styleId="BalloonText">
    <w:name w:val="Balloon Text"/>
    <w:basedOn w:val="Normal"/>
    <w:link w:val="BalloonTextChar"/>
    <w:uiPriority w:val="99"/>
    <w:semiHidden/>
    <w:unhideWhenUsed/>
    <w:rsid w:val="00685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14"/>
    <w:rPr>
      <w:rFonts w:ascii="Lucida Grande" w:hAnsi="Lucida Grande" w:cs="Lucida Grande"/>
      <w:sz w:val="18"/>
      <w:szCs w:val="18"/>
    </w:rPr>
  </w:style>
  <w:style w:type="paragraph" w:styleId="Header">
    <w:name w:val="header"/>
    <w:basedOn w:val="Normal"/>
    <w:link w:val="HeaderChar"/>
    <w:uiPriority w:val="99"/>
    <w:unhideWhenUsed/>
    <w:rsid w:val="009153DB"/>
    <w:pPr>
      <w:tabs>
        <w:tab w:val="center" w:pos="4320"/>
        <w:tab w:val="right" w:pos="8640"/>
      </w:tabs>
    </w:pPr>
  </w:style>
  <w:style w:type="character" w:customStyle="1" w:styleId="HeaderChar">
    <w:name w:val="Header Char"/>
    <w:basedOn w:val="DefaultParagraphFont"/>
    <w:link w:val="Header"/>
    <w:uiPriority w:val="99"/>
    <w:rsid w:val="009153DB"/>
  </w:style>
  <w:style w:type="paragraph" w:styleId="Footer">
    <w:name w:val="footer"/>
    <w:basedOn w:val="Normal"/>
    <w:link w:val="FooterChar"/>
    <w:uiPriority w:val="99"/>
    <w:unhideWhenUsed/>
    <w:rsid w:val="009153DB"/>
    <w:pPr>
      <w:tabs>
        <w:tab w:val="center" w:pos="4320"/>
        <w:tab w:val="right" w:pos="8640"/>
      </w:tabs>
    </w:pPr>
  </w:style>
  <w:style w:type="character" w:customStyle="1" w:styleId="FooterChar">
    <w:name w:val="Footer Char"/>
    <w:basedOn w:val="DefaultParagraphFont"/>
    <w:link w:val="Footer"/>
    <w:uiPriority w:val="99"/>
    <w:rsid w:val="009153DB"/>
  </w:style>
  <w:style w:type="character" w:styleId="PageNumber">
    <w:name w:val="page number"/>
    <w:basedOn w:val="DefaultParagraphFont"/>
    <w:uiPriority w:val="99"/>
    <w:semiHidden/>
    <w:unhideWhenUsed/>
    <w:rsid w:val="00676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D9"/>
    <w:pPr>
      <w:ind w:left="720"/>
      <w:contextualSpacing/>
    </w:pPr>
  </w:style>
  <w:style w:type="character" w:styleId="Hyperlink">
    <w:name w:val="Hyperlink"/>
    <w:basedOn w:val="DefaultParagraphFont"/>
    <w:uiPriority w:val="99"/>
    <w:unhideWhenUsed/>
    <w:rsid w:val="006E74D9"/>
    <w:rPr>
      <w:color w:val="0000FF" w:themeColor="hyperlink"/>
      <w:u w:val="single"/>
    </w:rPr>
  </w:style>
  <w:style w:type="paragraph" w:styleId="BalloonText">
    <w:name w:val="Balloon Text"/>
    <w:basedOn w:val="Normal"/>
    <w:link w:val="BalloonTextChar"/>
    <w:uiPriority w:val="99"/>
    <w:semiHidden/>
    <w:unhideWhenUsed/>
    <w:rsid w:val="00685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14"/>
    <w:rPr>
      <w:rFonts w:ascii="Lucida Grande" w:hAnsi="Lucida Grande" w:cs="Lucida Grande"/>
      <w:sz w:val="18"/>
      <w:szCs w:val="18"/>
    </w:rPr>
  </w:style>
  <w:style w:type="paragraph" w:styleId="Header">
    <w:name w:val="header"/>
    <w:basedOn w:val="Normal"/>
    <w:link w:val="HeaderChar"/>
    <w:uiPriority w:val="99"/>
    <w:unhideWhenUsed/>
    <w:rsid w:val="009153DB"/>
    <w:pPr>
      <w:tabs>
        <w:tab w:val="center" w:pos="4320"/>
        <w:tab w:val="right" w:pos="8640"/>
      </w:tabs>
    </w:pPr>
  </w:style>
  <w:style w:type="character" w:customStyle="1" w:styleId="HeaderChar">
    <w:name w:val="Header Char"/>
    <w:basedOn w:val="DefaultParagraphFont"/>
    <w:link w:val="Header"/>
    <w:uiPriority w:val="99"/>
    <w:rsid w:val="009153DB"/>
  </w:style>
  <w:style w:type="paragraph" w:styleId="Footer">
    <w:name w:val="footer"/>
    <w:basedOn w:val="Normal"/>
    <w:link w:val="FooterChar"/>
    <w:uiPriority w:val="99"/>
    <w:unhideWhenUsed/>
    <w:rsid w:val="009153DB"/>
    <w:pPr>
      <w:tabs>
        <w:tab w:val="center" w:pos="4320"/>
        <w:tab w:val="right" w:pos="8640"/>
      </w:tabs>
    </w:pPr>
  </w:style>
  <w:style w:type="character" w:customStyle="1" w:styleId="FooterChar">
    <w:name w:val="Footer Char"/>
    <w:basedOn w:val="DefaultParagraphFont"/>
    <w:link w:val="Footer"/>
    <w:uiPriority w:val="99"/>
    <w:rsid w:val="009153DB"/>
  </w:style>
  <w:style w:type="character" w:styleId="PageNumber">
    <w:name w:val="page number"/>
    <w:basedOn w:val="DefaultParagraphFont"/>
    <w:uiPriority w:val="99"/>
    <w:semiHidden/>
    <w:unhideWhenUsed/>
    <w:rsid w:val="0067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204">
      <w:bodyDiv w:val="1"/>
      <w:marLeft w:val="0"/>
      <w:marRight w:val="0"/>
      <w:marTop w:val="0"/>
      <w:marBottom w:val="0"/>
      <w:divBdr>
        <w:top w:val="none" w:sz="0" w:space="0" w:color="auto"/>
        <w:left w:val="none" w:sz="0" w:space="0" w:color="auto"/>
        <w:bottom w:val="none" w:sz="0" w:space="0" w:color="auto"/>
        <w:right w:val="none" w:sz="0" w:space="0" w:color="auto"/>
      </w:divBdr>
    </w:div>
    <w:div w:id="105513236">
      <w:bodyDiv w:val="1"/>
      <w:marLeft w:val="0"/>
      <w:marRight w:val="0"/>
      <w:marTop w:val="0"/>
      <w:marBottom w:val="0"/>
      <w:divBdr>
        <w:top w:val="none" w:sz="0" w:space="0" w:color="auto"/>
        <w:left w:val="none" w:sz="0" w:space="0" w:color="auto"/>
        <w:bottom w:val="none" w:sz="0" w:space="0" w:color="auto"/>
        <w:right w:val="none" w:sz="0" w:space="0" w:color="auto"/>
      </w:divBdr>
    </w:div>
    <w:div w:id="156385330">
      <w:bodyDiv w:val="1"/>
      <w:marLeft w:val="0"/>
      <w:marRight w:val="0"/>
      <w:marTop w:val="0"/>
      <w:marBottom w:val="0"/>
      <w:divBdr>
        <w:top w:val="none" w:sz="0" w:space="0" w:color="auto"/>
        <w:left w:val="none" w:sz="0" w:space="0" w:color="auto"/>
        <w:bottom w:val="none" w:sz="0" w:space="0" w:color="auto"/>
        <w:right w:val="none" w:sz="0" w:space="0" w:color="auto"/>
      </w:divBdr>
    </w:div>
    <w:div w:id="802774878">
      <w:bodyDiv w:val="1"/>
      <w:marLeft w:val="0"/>
      <w:marRight w:val="0"/>
      <w:marTop w:val="0"/>
      <w:marBottom w:val="0"/>
      <w:divBdr>
        <w:top w:val="none" w:sz="0" w:space="0" w:color="auto"/>
        <w:left w:val="none" w:sz="0" w:space="0" w:color="auto"/>
        <w:bottom w:val="none" w:sz="0" w:space="0" w:color="auto"/>
        <w:right w:val="none" w:sz="0" w:space="0" w:color="auto"/>
      </w:divBdr>
    </w:div>
    <w:div w:id="983316654">
      <w:bodyDiv w:val="1"/>
      <w:marLeft w:val="0"/>
      <w:marRight w:val="0"/>
      <w:marTop w:val="0"/>
      <w:marBottom w:val="0"/>
      <w:divBdr>
        <w:top w:val="none" w:sz="0" w:space="0" w:color="auto"/>
        <w:left w:val="none" w:sz="0" w:space="0" w:color="auto"/>
        <w:bottom w:val="none" w:sz="0" w:space="0" w:color="auto"/>
        <w:right w:val="none" w:sz="0" w:space="0" w:color="auto"/>
      </w:divBdr>
    </w:div>
    <w:div w:id="991563728">
      <w:bodyDiv w:val="1"/>
      <w:marLeft w:val="0"/>
      <w:marRight w:val="0"/>
      <w:marTop w:val="0"/>
      <w:marBottom w:val="0"/>
      <w:divBdr>
        <w:top w:val="none" w:sz="0" w:space="0" w:color="auto"/>
        <w:left w:val="none" w:sz="0" w:space="0" w:color="auto"/>
        <w:bottom w:val="none" w:sz="0" w:space="0" w:color="auto"/>
        <w:right w:val="none" w:sz="0" w:space="0" w:color="auto"/>
      </w:divBdr>
    </w:div>
    <w:div w:id="1320693341">
      <w:bodyDiv w:val="1"/>
      <w:marLeft w:val="0"/>
      <w:marRight w:val="0"/>
      <w:marTop w:val="0"/>
      <w:marBottom w:val="0"/>
      <w:divBdr>
        <w:top w:val="none" w:sz="0" w:space="0" w:color="auto"/>
        <w:left w:val="none" w:sz="0" w:space="0" w:color="auto"/>
        <w:bottom w:val="none" w:sz="0" w:space="0" w:color="auto"/>
        <w:right w:val="none" w:sz="0" w:space="0" w:color="auto"/>
      </w:divBdr>
    </w:div>
    <w:div w:id="1342901799">
      <w:bodyDiv w:val="1"/>
      <w:marLeft w:val="0"/>
      <w:marRight w:val="0"/>
      <w:marTop w:val="0"/>
      <w:marBottom w:val="0"/>
      <w:divBdr>
        <w:top w:val="none" w:sz="0" w:space="0" w:color="auto"/>
        <w:left w:val="none" w:sz="0" w:space="0" w:color="auto"/>
        <w:bottom w:val="none" w:sz="0" w:space="0" w:color="auto"/>
        <w:right w:val="none" w:sz="0" w:space="0" w:color="auto"/>
      </w:divBdr>
    </w:div>
    <w:div w:id="1457793142">
      <w:bodyDiv w:val="1"/>
      <w:marLeft w:val="0"/>
      <w:marRight w:val="0"/>
      <w:marTop w:val="0"/>
      <w:marBottom w:val="0"/>
      <w:divBdr>
        <w:top w:val="none" w:sz="0" w:space="0" w:color="auto"/>
        <w:left w:val="none" w:sz="0" w:space="0" w:color="auto"/>
        <w:bottom w:val="none" w:sz="0" w:space="0" w:color="auto"/>
        <w:right w:val="none" w:sz="0" w:space="0" w:color="auto"/>
      </w:divBdr>
    </w:div>
    <w:div w:id="1458840340">
      <w:bodyDiv w:val="1"/>
      <w:marLeft w:val="0"/>
      <w:marRight w:val="0"/>
      <w:marTop w:val="0"/>
      <w:marBottom w:val="0"/>
      <w:divBdr>
        <w:top w:val="none" w:sz="0" w:space="0" w:color="auto"/>
        <w:left w:val="none" w:sz="0" w:space="0" w:color="auto"/>
        <w:bottom w:val="none" w:sz="0" w:space="0" w:color="auto"/>
        <w:right w:val="none" w:sz="0" w:space="0" w:color="auto"/>
      </w:divBdr>
    </w:div>
    <w:div w:id="1551455383">
      <w:bodyDiv w:val="1"/>
      <w:marLeft w:val="0"/>
      <w:marRight w:val="0"/>
      <w:marTop w:val="0"/>
      <w:marBottom w:val="0"/>
      <w:divBdr>
        <w:top w:val="none" w:sz="0" w:space="0" w:color="auto"/>
        <w:left w:val="none" w:sz="0" w:space="0" w:color="auto"/>
        <w:bottom w:val="none" w:sz="0" w:space="0" w:color="auto"/>
        <w:right w:val="none" w:sz="0" w:space="0" w:color="auto"/>
      </w:divBdr>
    </w:div>
    <w:div w:id="1608807669">
      <w:bodyDiv w:val="1"/>
      <w:marLeft w:val="0"/>
      <w:marRight w:val="0"/>
      <w:marTop w:val="0"/>
      <w:marBottom w:val="0"/>
      <w:divBdr>
        <w:top w:val="none" w:sz="0" w:space="0" w:color="auto"/>
        <w:left w:val="none" w:sz="0" w:space="0" w:color="auto"/>
        <w:bottom w:val="none" w:sz="0" w:space="0" w:color="auto"/>
        <w:right w:val="none" w:sz="0" w:space="0" w:color="auto"/>
      </w:divBdr>
    </w:div>
    <w:div w:id="1890339484">
      <w:bodyDiv w:val="1"/>
      <w:marLeft w:val="0"/>
      <w:marRight w:val="0"/>
      <w:marTop w:val="0"/>
      <w:marBottom w:val="0"/>
      <w:divBdr>
        <w:top w:val="none" w:sz="0" w:space="0" w:color="auto"/>
        <w:left w:val="none" w:sz="0" w:space="0" w:color="auto"/>
        <w:bottom w:val="none" w:sz="0" w:space="0" w:color="auto"/>
        <w:right w:val="none" w:sz="0" w:space="0" w:color="auto"/>
      </w:divBdr>
    </w:div>
    <w:div w:id="2119061731">
      <w:bodyDiv w:val="1"/>
      <w:marLeft w:val="0"/>
      <w:marRight w:val="0"/>
      <w:marTop w:val="0"/>
      <w:marBottom w:val="0"/>
      <w:divBdr>
        <w:top w:val="none" w:sz="0" w:space="0" w:color="auto"/>
        <w:left w:val="none" w:sz="0" w:space="0" w:color="auto"/>
        <w:bottom w:val="none" w:sz="0" w:space="0" w:color="auto"/>
        <w:right w:val="none" w:sz="0" w:space="0" w:color="auto"/>
      </w:divBdr>
    </w:div>
    <w:div w:id="212260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itcompliance.bsd.uchicago.edu/" TargetMode="External"/><Relationship Id="rId12" Type="http://schemas.openxmlformats.org/officeDocument/2006/relationships/image" Target="media/image1.png"/><Relationship Id="rId13" Type="http://schemas.openxmlformats.org/officeDocument/2006/relationships/hyperlink" Target="http://security.bsd.uchicago.edu/wp-content/uploads/sites/2/2015/01/STA-05-BSD-IT_Asset_Inventory_and_Categorization_Standards.pdf" TargetMode="External"/><Relationship Id="rId14" Type="http://schemas.openxmlformats.org/officeDocument/2006/relationships/hyperlink" Target="http://security.bsd.uchicago.edu/wp-content/uploads/sites/2/2015/01/STA-05-BSD-IT_Asset_Inventory_and_Categorization_Standards.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51EDDFDF9644B862C4CC1EC164258" ma:contentTypeVersion="0" ma:contentTypeDescription="Create a new document." ma:contentTypeScope="" ma:versionID="429ad1eece1f67ed24a760390c267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96026-7468-40AA-BBBD-FF28CD951492}">
  <ds:schemaRefs>
    <ds:schemaRef ds:uri="http://schemas.microsoft.com/sharepoint/v3/contenttype/forms"/>
  </ds:schemaRefs>
</ds:datastoreItem>
</file>

<file path=customXml/itemProps2.xml><?xml version="1.0" encoding="utf-8"?>
<ds:datastoreItem xmlns:ds="http://schemas.openxmlformats.org/officeDocument/2006/customXml" ds:itemID="{EE4140D0-8612-4045-87DF-A56254D8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648A9D-C7EC-49F2-B3CF-7064E2499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Conley</dc:creator>
  <cp:keywords/>
  <dc:description/>
  <cp:lastModifiedBy>Kimyatta Cooke</cp:lastModifiedBy>
  <cp:revision>2</cp:revision>
  <dcterms:created xsi:type="dcterms:W3CDTF">2016-01-25T21:21:00Z</dcterms:created>
  <dcterms:modified xsi:type="dcterms:W3CDTF">2016-01-25T21:21:00Z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0x0101001E851EDDFDF9644B862C4CC1EC164258</vt:lpwstr>
  </property>
</Properties>
</file>